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513D" w:rsidRDefault="00400D6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noProof/>
          <w:lang w:val="en-U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column">
              <wp:posOffset>140971</wp:posOffset>
            </wp:positionH>
            <wp:positionV relativeFrom="paragraph">
              <wp:posOffset>149862</wp:posOffset>
            </wp:positionV>
            <wp:extent cx="1670588" cy="804934"/>
            <wp:effectExtent l="0" t="0" r="0" b="0"/>
            <wp:wrapSquare wrapText="bothSides" distT="152400" distB="152400" distL="152400" distR="1524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588" cy="804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513D" w:rsidRDefault="00A8513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A8513D" w:rsidRDefault="00A8513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</w:rPr>
      </w:pPr>
    </w:p>
    <w:p w:rsidR="00A8513D" w:rsidRDefault="007A73E1" w:rsidP="007A73E1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Lesson 3:  How Can Lady Beetles’ Response to Temperature Change Be Tested?</w:t>
      </w:r>
    </w:p>
    <w:p w:rsidR="00A8513D" w:rsidRDefault="00A851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104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5"/>
        <w:gridCol w:w="6000"/>
        <w:gridCol w:w="2775"/>
      </w:tblGrid>
      <w:tr w:rsidR="00A8513D">
        <w:trPr>
          <w:trHeight w:val="5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u w:val="single"/>
              </w:rPr>
              <w:t>Unit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>
              <w:rPr>
                <w:rFonts w:ascii="Arial" w:eastAsia="Arial" w:hAnsi="Arial" w:cs="Arial"/>
                <w:b/>
              </w:rPr>
              <w:t>Adaptation and Evolution:  Phenotypic/Genotypic Response to Climate Change in Ladybugs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Essential Question</w:t>
            </w:r>
            <w:r>
              <w:rPr>
                <w:rFonts w:ascii="Arial" w:eastAsia="Arial" w:hAnsi="Arial" w:cs="Arial"/>
                <w:b/>
              </w:rPr>
              <w:t>: How do different populations of lady beetles vary in response to temperature change?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Duration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 w:rsidR="007A73E1">
              <w:rPr>
                <w:rFonts w:ascii="Arial" w:eastAsia="Arial" w:hAnsi="Arial" w:cs="Arial"/>
                <w:b/>
                <w:color w:val="000000"/>
              </w:rPr>
              <w:t xml:space="preserve">1-3 </w:t>
            </w:r>
            <w:r w:rsidR="000332EE">
              <w:rPr>
                <w:rFonts w:ascii="Arial" w:eastAsia="Arial" w:hAnsi="Arial" w:cs="Arial"/>
                <w:b/>
                <w:color w:val="000000"/>
              </w:rPr>
              <w:t xml:space="preserve">10hour </w:t>
            </w:r>
            <w:r w:rsidR="007A73E1">
              <w:rPr>
                <w:rFonts w:ascii="Arial" w:eastAsia="Arial" w:hAnsi="Arial" w:cs="Arial"/>
                <w:b/>
                <w:color w:val="000000"/>
              </w:rPr>
              <w:t>class periods</w:t>
            </w:r>
            <w:r w:rsidR="000332EE">
              <w:rPr>
                <w:rFonts w:ascii="Arial" w:eastAsia="Arial" w:hAnsi="Arial" w:cs="Arial"/>
                <w:b/>
                <w:color w:val="000000"/>
              </w:rPr>
              <w:t xml:space="preserve"> depending on scaffolding option selected</w:t>
            </w:r>
          </w:p>
        </w:tc>
      </w:tr>
      <w:tr w:rsidR="00A8513D">
        <w:trPr>
          <w:trHeight w:val="40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Foundational Concept for this Lesson:</w:t>
            </w:r>
          </w:p>
          <w:p w:rsidR="00A8513D" w:rsidRDefault="00A851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useful, quantifiable trait in lady beetles </w:t>
            </w:r>
            <w:r w:rsidR="0061682B">
              <w:rPr>
                <w:rFonts w:ascii="Arial" w:eastAsia="Arial" w:hAnsi="Arial" w:cs="Arial"/>
              </w:rPr>
              <w:t xml:space="preserve">(also known as ladybugs or ladybird beetles) </w:t>
            </w:r>
            <w:r>
              <w:rPr>
                <w:rFonts w:ascii="Arial" w:eastAsia="Arial" w:hAnsi="Arial" w:cs="Arial"/>
              </w:rPr>
              <w:t>and their relatives is their natural ability to enter Chill Coma.  (Students learned about this trait in Lesson 2.)  Chill coma is a reversible total paralysis; emergence from chill coma can be timed.  This measurable parameter is known as Chill Coma Recovery Time (CCRT).  The effect of different variables on CCRT can be tested.</w:t>
            </w:r>
          </w:p>
        </w:tc>
      </w:tr>
      <w:tr w:rsidR="00A8513D">
        <w:trPr>
          <w:trHeight w:val="40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Performance Expectation(s): </w:t>
            </w:r>
          </w:p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HS-LS2-2. Use mathematical representations to support and revise explanations based on evidence about factors affecting biodiversity and populations in ecosystems of different scales. </w:t>
            </w:r>
          </w:p>
          <w:p w:rsidR="00A8513D" w:rsidRDefault="00A8513D">
            <w:pPr>
              <w:pStyle w:val="normal0"/>
              <w:rPr>
                <w:rFonts w:ascii="Arial" w:eastAsia="Arial" w:hAnsi="Arial" w:cs="Arial"/>
                <w:i/>
              </w:rPr>
            </w:pPr>
          </w:p>
        </w:tc>
      </w:tr>
      <w:tr w:rsidR="00A8513D">
        <w:trPr>
          <w:trHeight w:val="56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Learning Targets (Students will be able to…): </w:t>
            </w:r>
          </w:p>
          <w:p w:rsidR="00A8513D" w:rsidRDefault="00400D67">
            <w:pPr>
              <w:pStyle w:val="normal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 &amp; carry out investigations</w:t>
            </w:r>
          </w:p>
          <w:p w:rsidR="00A8513D" w:rsidRDefault="00400D67">
            <w:pPr>
              <w:pStyle w:val="normal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mathematics and computational thinking</w:t>
            </w:r>
          </w:p>
          <w:p w:rsidR="00A8513D" w:rsidRDefault="00400D67">
            <w:pPr>
              <w:pStyle w:val="normal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Analyze and interpret data</w:t>
            </w:r>
          </w:p>
          <w:p w:rsidR="00A8513D" w:rsidRDefault="00400D67">
            <w:pPr>
              <w:pStyle w:val="normal0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Engage in argument from evidence</w:t>
            </w:r>
          </w:p>
          <w:p w:rsidR="00A8513D" w:rsidRDefault="00A8513D">
            <w:pPr>
              <w:pStyle w:val="normal0"/>
              <w:rPr>
                <w:rFonts w:ascii="Arial" w:eastAsia="Arial" w:hAnsi="Arial" w:cs="Arial"/>
                <w:b/>
              </w:rPr>
            </w:pPr>
          </w:p>
        </w:tc>
      </w:tr>
      <w:tr w:rsidR="00A8513D">
        <w:trPr>
          <w:trHeight w:val="56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 Evidence:  </w:t>
            </w:r>
          </w:p>
          <w:p w:rsidR="00A8513D" w:rsidRDefault="00400D6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Completed lab reports (wet labs)</w:t>
            </w:r>
          </w:p>
          <w:p w:rsidR="00A8513D" w:rsidRDefault="00400D6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Completed Data Nuggets (dry lab)</w:t>
            </w:r>
          </w:p>
        </w:tc>
      </w:tr>
      <w:tr w:rsidR="00A8513D">
        <w:trPr>
          <w:trHeight w:val="56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Materials:  </w:t>
            </w:r>
            <w:r>
              <w:rPr>
                <w:rFonts w:ascii="Arial" w:eastAsia="Arial" w:hAnsi="Arial" w:cs="Arial"/>
              </w:rPr>
              <w:t>See each scaffolding option for activity-specific materials.</w:t>
            </w:r>
          </w:p>
        </w:tc>
      </w:tr>
      <w:tr w:rsidR="00A8513D">
        <w:trPr>
          <w:cantSplit/>
          <w:trHeight w:val="56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Scaffolding Options:</w:t>
            </w:r>
          </w:p>
          <w:p w:rsidR="00A8513D" w:rsidRDefault="00400D67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Medium scaffolding 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(Wet lab: guided inquiry option):  </w:t>
            </w:r>
            <w:r>
              <w:rPr>
                <w:rFonts w:ascii="Arial" w:eastAsia="Arial" w:hAnsi="Arial" w:cs="Arial"/>
                <w:highlight w:val="white"/>
              </w:rPr>
              <w:t>Students place beetles in chill coma and measure their recovery time; population data is compared to data provided from other populations.</w:t>
            </w:r>
          </w:p>
          <w:p w:rsidR="00A8513D" w:rsidRDefault="00400D67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Low scaffolding (Wet lab: stand-alone, open inquiry option, or this may be used as an extension to medium scaffolding):  </w:t>
            </w:r>
            <w:r>
              <w:rPr>
                <w:rFonts w:ascii="Arial" w:eastAsia="Arial" w:hAnsi="Arial" w:cs="Arial"/>
              </w:rPr>
              <w:t>Students use the background knowledge developed in Lessons 1 and 2 to conduct the experiments they designed at the end of Lesson 2.</w:t>
            </w:r>
          </w:p>
          <w:p w:rsidR="00A8513D" w:rsidRDefault="00400D67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High scaffolding (Dry lab: data analysis option; may be used if wet lab is not feasible, or as an extension to low or medium scaffolding):  </w:t>
            </w:r>
            <w:r>
              <w:rPr>
                <w:rFonts w:ascii="Arial" w:eastAsia="Arial" w:hAnsi="Arial" w:cs="Arial"/>
              </w:rPr>
              <w:t xml:space="preserve">Students complete the “Beetle, It’s Cold Outside!” Data Nuggets, Parts 1 and 2.  </w:t>
            </w:r>
          </w:p>
        </w:tc>
      </w:tr>
      <w:tr w:rsidR="00A8513D">
        <w:trPr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>MEDIUM SCAFFOLDING OPTION:  Guided inquiry - Measuring CCRT variation in beetles kept on ice for 24 hours</w:t>
            </w:r>
          </w:p>
        </w:tc>
      </w:tr>
      <w:tr w:rsidR="00A8513D">
        <w:trPr>
          <w:trHeight w:val="894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Engage</w:t>
            </w:r>
            <w:r>
              <w:rPr>
                <w:rFonts w:ascii="Arial" w:eastAsia="Arial" w:hAnsi="Arial" w:cs="Arial"/>
                <w:highlight w:val="white"/>
              </w:rPr>
              <w:t xml:space="preserve">:  In Lesson 2, students suggested possible experiments to test lady beetles’ responses to temperature change.  Honor all ideas, but explain to students that they will be </w:t>
            </w:r>
            <w:r>
              <w:rPr>
                <w:rFonts w:ascii="Arial" w:eastAsia="Arial" w:hAnsi="Arial" w:cs="Arial"/>
                <w:highlight w:val="white"/>
                <w:u w:val="single"/>
              </w:rPr>
              <w:t>participating in</w:t>
            </w:r>
            <w:r>
              <w:rPr>
                <w:rFonts w:ascii="Arial" w:eastAsia="Arial" w:hAnsi="Arial" w:cs="Arial"/>
                <w:highlight w:val="white"/>
              </w:rPr>
              <w:t xml:space="preserve"> the research done by Dr. Caroline Williams’ lab, which explores the variation in beetles’ responses to cold.</w:t>
            </w:r>
          </w:p>
          <w:p w:rsidR="00A8513D" w:rsidRDefault="00A851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</w:p>
          <w:p w:rsidR="00A8513D" w:rsidRDefault="00400D67">
            <w:pPr>
              <w:pStyle w:val="normal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>Useful resources</w:t>
            </w:r>
            <w:r>
              <w:rPr>
                <w:rFonts w:ascii="Arial" w:eastAsia="Arial" w:hAnsi="Arial" w:cs="Arial"/>
                <w:i/>
              </w:rPr>
              <w:t>:</w:t>
            </w:r>
            <w:r w:rsidR="00704E5E">
              <w:rPr>
                <w:rFonts w:ascii="Arial" w:eastAsia="Arial" w:hAnsi="Arial" w:cs="Arial"/>
                <w:i/>
              </w:rPr>
              <w:t xml:space="preserve"> (see project website, </w:t>
            </w:r>
            <w:r w:rsidR="00704E5E" w:rsidRPr="00704E5E">
              <w:rPr>
                <w:rFonts w:ascii="Arial" w:eastAsia="Arial" w:hAnsi="Arial" w:cs="Arial"/>
                <w:i/>
              </w:rPr>
              <w:t>https://evolution.berkeley.edu/evolibrary/teach/lessons/beetle-project-overview.php</w:t>
            </w:r>
            <w:r w:rsidR="00704E5E">
              <w:rPr>
                <w:rFonts w:ascii="Arial" w:eastAsia="Arial" w:hAnsi="Arial" w:cs="Arial"/>
                <w:i/>
              </w:rPr>
              <w:t>, for links to these resources)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A8513D" w:rsidRDefault="00A8513D">
            <w:pPr>
              <w:pStyle w:val="normal0"/>
              <w:rPr>
                <w:rFonts w:ascii="Arial" w:eastAsia="Arial" w:hAnsi="Arial" w:cs="Arial"/>
                <w:i/>
              </w:rPr>
            </w:pPr>
          </w:p>
          <w:p w:rsidR="00A8513D" w:rsidRPr="00C178DA" w:rsidRDefault="00400D6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i/>
              </w:rPr>
            </w:pPr>
            <w:r w:rsidRPr="00C178DA">
              <w:rPr>
                <w:rFonts w:ascii="Arial" w:eastAsia="Arial" w:hAnsi="Arial" w:cs="Arial"/>
                <w:i/>
                <w:u w:val="single"/>
              </w:rPr>
              <w:t xml:space="preserve">TEACHER GUIDE:  </w:t>
            </w:r>
            <w:r w:rsidR="00C178DA" w:rsidRPr="00C178DA">
              <w:rPr>
                <w:rFonts w:ascii="Arial" w:eastAsia="Arial" w:hAnsi="Arial" w:cs="Arial"/>
                <w:i/>
                <w:u w:val="single"/>
              </w:rPr>
              <w:t>Lab set-up and techniques</w:t>
            </w:r>
          </w:p>
          <w:p w:rsidR="00A8513D" w:rsidRPr="00C178DA" w:rsidRDefault="00C178DA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i/>
              </w:rPr>
            </w:pPr>
            <w:r w:rsidRPr="00C178DA">
              <w:rPr>
                <w:rFonts w:ascii="Arial" w:eastAsia="Arial" w:hAnsi="Arial" w:cs="Arial"/>
                <w:i/>
                <w:highlight w:val="white"/>
                <w:u w:val="single"/>
              </w:rPr>
              <w:t xml:space="preserve">Student Handout 1: </w:t>
            </w:r>
            <w:r w:rsidR="00400D67" w:rsidRPr="00C178DA">
              <w:rPr>
                <w:rFonts w:ascii="Arial" w:eastAsia="Arial" w:hAnsi="Arial" w:cs="Arial"/>
                <w:i/>
                <w:highlight w:val="white"/>
                <w:u w:val="single"/>
              </w:rPr>
              <w:t>Determining CCRT Variability in Different Lady Beetle Populations</w:t>
            </w:r>
          </w:p>
          <w:p w:rsidR="00A8513D" w:rsidRPr="00C178DA" w:rsidRDefault="00400D6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i/>
              </w:rPr>
            </w:pPr>
            <w:r w:rsidRPr="00C178DA">
              <w:rPr>
                <w:rFonts w:ascii="Arial" w:eastAsia="Arial" w:hAnsi="Arial" w:cs="Arial"/>
                <w:i/>
                <w:u w:val="single"/>
              </w:rPr>
              <w:t xml:space="preserve">Supplemental lesson:  Mean, </w:t>
            </w:r>
            <w:r w:rsidRPr="00C178DA">
              <w:rPr>
                <w:rFonts w:ascii="Arial" w:eastAsia="Arial" w:hAnsi="Arial" w:cs="Arial"/>
                <w:i/>
                <w:u w:val="single"/>
              </w:rPr>
              <w:t>S</w:t>
            </w:r>
            <w:r w:rsidRPr="00C178DA">
              <w:rPr>
                <w:rFonts w:ascii="Arial" w:eastAsia="Arial" w:hAnsi="Arial" w:cs="Arial"/>
                <w:i/>
                <w:u w:val="single"/>
              </w:rPr>
              <w:t>tandard Deviation, and Standard Error</w:t>
            </w:r>
          </w:p>
          <w:p w:rsidR="00A8513D" w:rsidRPr="00C178DA" w:rsidRDefault="00400D6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i/>
              </w:rPr>
            </w:pPr>
            <w:r w:rsidRPr="00C178DA">
              <w:rPr>
                <w:rFonts w:ascii="Arial" w:eastAsia="Arial" w:hAnsi="Arial" w:cs="Arial"/>
                <w:i/>
                <w:u w:val="single"/>
              </w:rPr>
              <w:t>Sample Lab Report Template</w:t>
            </w:r>
            <w:r w:rsidR="00C178DA" w:rsidRPr="00C178DA">
              <w:rPr>
                <w:rFonts w:ascii="Arial" w:eastAsia="Arial" w:hAnsi="Arial" w:cs="Arial"/>
                <w:i/>
              </w:rPr>
              <w:t xml:space="preserve"> </w:t>
            </w:r>
          </w:p>
          <w:p w:rsidR="00A8513D" w:rsidRDefault="00A851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</w:p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Explain</w:t>
            </w:r>
            <w:r>
              <w:rPr>
                <w:rFonts w:ascii="Arial" w:eastAsia="Arial" w:hAnsi="Arial" w:cs="Arial"/>
                <w:highlight w:val="white"/>
              </w:rPr>
              <w:t xml:space="preserve">:  </w:t>
            </w:r>
            <w:r w:rsidRPr="0046414E">
              <w:rPr>
                <w:rFonts w:ascii="Arial" w:eastAsia="Arial" w:hAnsi="Arial" w:cs="Arial"/>
                <w:highlight w:val="white"/>
              </w:rPr>
              <w:t>Pass out the</w:t>
            </w:r>
            <w:r w:rsidRPr="0046414E">
              <w:rPr>
                <w:rFonts w:ascii="Arial" w:eastAsia="Arial" w:hAnsi="Arial" w:cs="Arial"/>
                <w:highlight w:val="white"/>
                <w:u w:val="single"/>
              </w:rPr>
              <w:t xml:space="preserve"> “Determining CCRT Variability in Different Lady Beetle Populations” student handout</w:t>
            </w:r>
            <w:r w:rsidRPr="0046414E">
              <w:rPr>
                <w:rFonts w:ascii="Arial" w:eastAsia="Arial" w:hAnsi="Arial" w:cs="Arial"/>
                <w:i/>
                <w:highlight w:val="white"/>
              </w:rPr>
              <w:t>.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  </w:t>
            </w:r>
            <w:r>
              <w:rPr>
                <w:rFonts w:ascii="Arial" w:eastAsia="Arial" w:hAnsi="Arial" w:cs="Arial"/>
                <w:highlight w:val="white"/>
              </w:rPr>
              <w:t>Have students read the Research Background, make predictions, and record geographic source for their beetles.  Field questions and discuss.</w:t>
            </w:r>
          </w:p>
          <w:p w:rsidR="00A8513D" w:rsidRDefault="00A851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</w:p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Explore</w:t>
            </w:r>
            <w:r>
              <w:rPr>
                <w:rFonts w:ascii="Arial" w:eastAsia="Arial" w:hAnsi="Arial" w:cs="Arial"/>
                <w:highlight w:val="white"/>
              </w:rPr>
              <w:t xml:space="preserve">:   </w:t>
            </w:r>
          </w:p>
          <w:p w:rsidR="00A8513D" w:rsidRDefault="00400D6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Day 1:  students, working in pairs, follow the “Procedure for placing beetles in chill coma”  to sequester beetles in tubes and place the tubes in ice for 24 hours.</w:t>
            </w:r>
          </w:p>
          <w:p w:rsidR="00A8513D" w:rsidRDefault="00400D6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Day 2:  students, working in pairs, follow the “Procedure for timing beetle chill coma recovery”  to record CCRT for their beetles.</w:t>
            </w:r>
          </w:p>
          <w:p w:rsidR="00A8513D" w:rsidRDefault="00400D6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Students determine the mean CCRT and SEM for their population of beetles.  </w:t>
            </w:r>
            <w:r>
              <w:rPr>
                <w:rFonts w:ascii="Arial" w:eastAsia="Arial" w:hAnsi="Arial" w:cs="Arial"/>
                <w:i/>
                <w:highlight w:val="white"/>
              </w:rPr>
              <w:t>The Supplemental Lesson on Mean, Standard Deviation, and Standard Error may be used fi</w:t>
            </w:r>
            <w:r w:rsidR="00042A17">
              <w:rPr>
                <w:rFonts w:ascii="Arial" w:eastAsia="Arial" w:hAnsi="Arial" w:cs="Arial"/>
                <w:i/>
                <w:highlight w:val="white"/>
              </w:rPr>
              <w:t>rst, if desired</w:t>
            </w:r>
            <w:r>
              <w:rPr>
                <w:rFonts w:ascii="Arial" w:eastAsia="Arial" w:hAnsi="Arial" w:cs="Arial"/>
                <w:i/>
                <w:highlight w:val="white"/>
              </w:rPr>
              <w:t>.</w:t>
            </w:r>
          </w:p>
          <w:p w:rsidR="00A8513D" w:rsidRDefault="00A8513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</w:p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Explain/Evaluate</w:t>
            </w:r>
            <w:r>
              <w:rPr>
                <w:rFonts w:ascii="Arial" w:eastAsia="Arial" w:hAnsi="Arial" w:cs="Arial"/>
                <w:highlight w:val="white"/>
              </w:rPr>
              <w:t>:</w:t>
            </w:r>
          </w:p>
          <w:p w:rsidR="00A8513D" w:rsidRDefault="00400D67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Students compare their findings to the CCRT data for different geographic populations provided here.  </w:t>
            </w:r>
            <w:r>
              <w:rPr>
                <w:rFonts w:ascii="Arial" w:eastAsia="Arial" w:hAnsi="Arial" w:cs="Arial"/>
                <w:i/>
                <w:highlight w:val="white"/>
              </w:rPr>
              <w:t>This may be done informally, via class discussion, or more formally as part of a written lab report, which can be summatively evaluated.  A Samp</w:t>
            </w:r>
            <w:r w:rsidR="00042A17">
              <w:rPr>
                <w:rFonts w:ascii="Arial" w:eastAsia="Arial" w:hAnsi="Arial" w:cs="Arial"/>
                <w:i/>
                <w:highlight w:val="white"/>
              </w:rPr>
              <w:t>le Lab Report Template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 is linked above.</w:t>
            </w:r>
          </w:p>
        </w:tc>
      </w:tr>
      <w:tr w:rsidR="00A8513D">
        <w:trPr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8C5" w:rsidRDefault="00D908C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</w:pPr>
          </w:p>
          <w:p w:rsidR="00A8513D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>LOW SCAFFOLDING OPTION:  Open-ended inquiry/student-designed experiments</w:t>
            </w:r>
          </w:p>
        </w:tc>
      </w:tr>
      <w:tr w:rsidR="00A8513D">
        <w:trPr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In Lesson 2, students planned experiments to test lady beetles’ responses to temperature change.  As a low scaffolding, open-ended inquiry option, the teacher may choose to facilitate students performing some/all of their proposed experiments.  Although there are many possible experimental designs, Chill Coma Recovery Time is a useful, quantifiable parameter when conducting these tests.  The following resources explain how to place lady beetles into chill coma, and how to observe and record their chill coma recovery time.</w:t>
            </w:r>
          </w:p>
          <w:p w:rsidR="00A8513D" w:rsidRDefault="00A8513D">
            <w:pPr>
              <w:pStyle w:val="normal0"/>
              <w:rPr>
                <w:rFonts w:ascii="Arial" w:eastAsia="Arial" w:hAnsi="Arial" w:cs="Arial"/>
                <w:u w:val="single"/>
              </w:rPr>
            </w:pPr>
          </w:p>
          <w:p w:rsidR="00A8513D" w:rsidRDefault="00400D67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Useful resources</w:t>
            </w:r>
            <w:r>
              <w:rPr>
                <w:rFonts w:ascii="Arial" w:eastAsia="Arial" w:hAnsi="Arial" w:cs="Arial"/>
              </w:rPr>
              <w:t>:</w:t>
            </w:r>
          </w:p>
          <w:p w:rsidR="00A8513D" w:rsidRDefault="00D6301C">
            <w:pPr>
              <w:pStyle w:val="normal0"/>
              <w:numPr>
                <w:ilvl w:val="0"/>
                <w:numId w:val="7"/>
              </w:numPr>
              <w:rPr>
                <w:rFonts w:ascii="Arial" w:eastAsia="Arial" w:hAnsi="Arial" w:cs="Arial"/>
                <w:i/>
              </w:rPr>
            </w:pPr>
            <w:r w:rsidRPr="00C178DA">
              <w:rPr>
                <w:rFonts w:ascii="Arial" w:eastAsia="Arial" w:hAnsi="Arial" w:cs="Arial"/>
                <w:i/>
                <w:u w:val="single"/>
              </w:rPr>
              <w:t>TEACHER GUIDE:  Lab set-up and techniques</w:t>
            </w:r>
          </w:p>
          <w:p w:rsidR="00A8513D" w:rsidRDefault="00A8513D">
            <w:pPr>
              <w:pStyle w:val="normal0"/>
              <w:rPr>
                <w:rFonts w:ascii="Arial" w:eastAsia="Arial" w:hAnsi="Arial" w:cs="Arial"/>
              </w:rPr>
            </w:pPr>
          </w:p>
          <w:p w:rsidR="00A8513D" w:rsidRDefault="00400D67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Variables that could be tested include (but are not limited to):</w:t>
            </w:r>
          </w:p>
          <w:p w:rsidR="00A8513D" w:rsidRDefault="00400D6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Comparison of CCRT in nourished vs. starved lady beetles</w:t>
            </w:r>
          </w:p>
          <w:p w:rsidR="00A8513D" w:rsidRDefault="00400D6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Comparison of CCRT in populations of beetles from different sources</w:t>
            </w:r>
          </w:p>
          <w:p w:rsidR="00A8513D" w:rsidRDefault="00400D6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 comparison of “fast” vs. “slow” recovering beetles</w:t>
            </w:r>
          </w:p>
          <w:p w:rsidR="00A8513D" w:rsidRDefault="00400D6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 comparison of “fast” vs. “slow” recovering beetles</w:t>
            </w:r>
          </w:p>
          <w:p w:rsidR="00A8513D" w:rsidRDefault="00400D6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Comparison of CCRT in a population that experiences chill coma once, vs. multiple times</w:t>
            </w:r>
          </w:p>
          <w:p w:rsidR="00A8513D" w:rsidRDefault="00400D6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Comparison of climbing speed in beetles that have/have not experienced chill coma</w:t>
            </w:r>
          </w:p>
          <w:p w:rsidR="00A8513D" w:rsidRDefault="00400D6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Comparison of CCRT in beetles who have previously experienced heat shock (CAUTION:  beetles die when exposed to temperatures above 45</w:t>
            </w:r>
            <w:r>
              <w:rPr>
                <w:rFonts w:ascii="Noteworthy Light" w:eastAsia="Arial" w:hAnsi="Noteworthy Light" w:cs="Noteworthy Light"/>
              </w:rPr>
              <w:t>℃</w:t>
            </w:r>
            <w:r>
              <w:rPr>
                <w:rFonts w:ascii="Arial" w:eastAsia="Arial" w:hAnsi="Arial" w:cs="Arial"/>
              </w:rPr>
              <w:t>!)</w:t>
            </w:r>
          </w:p>
          <w:p w:rsidR="00A8513D" w:rsidRDefault="00A8513D">
            <w:pPr>
              <w:pStyle w:val="normal0"/>
              <w:ind w:left="720"/>
              <w:rPr>
                <w:rFonts w:ascii="Arial" w:eastAsia="Arial" w:hAnsi="Arial" w:cs="Arial"/>
              </w:rPr>
            </w:pPr>
          </w:p>
        </w:tc>
      </w:tr>
      <w:tr w:rsidR="00A8513D">
        <w:trPr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Pr="0034094C" w:rsidRDefault="00400D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>HIGH SCAFFOLDING OPTION:  Data analysis of CCRT experiments</w:t>
            </w:r>
          </w:p>
        </w:tc>
      </w:tr>
      <w:tr w:rsidR="00A8513D">
        <w:trPr>
          <w:cantSplit/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13D" w:rsidRDefault="00400D67">
            <w:pPr>
              <w:pStyle w:val="normal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Engage</w:t>
            </w:r>
            <w:r>
              <w:rPr>
                <w:rFonts w:ascii="Arial" w:eastAsia="Arial" w:hAnsi="Arial" w:cs="Arial"/>
                <w:highlight w:val="white"/>
              </w:rPr>
              <w:t xml:space="preserve">:  In Lesson 2, students suggested possible experiments to test lady beetles’ responses to temperature change.  Honor all ideas, but explain to students that they will be </w:t>
            </w:r>
            <w:r>
              <w:rPr>
                <w:rFonts w:ascii="Arial" w:eastAsia="Arial" w:hAnsi="Arial" w:cs="Arial"/>
                <w:highlight w:val="white"/>
                <w:u w:val="single"/>
              </w:rPr>
              <w:t xml:space="preserve">analyzing </w:t>
            </w:r>
            <w:r>
              <w:rPr>
                <w:rFonts w:ascii="Arial" w:eastAsia="Arial" w:hAnsi="Arial" w:cs="Arial"/>
                <w:highlight w:val="white"/>
              </w:rPr>
              <w:t>the research done by Dr. Caroline Williams’ lab, which explores the variation in beetles’ responses to cold.</w:t>
            </w:r>
          </w:p>
          <w:p w:rsidR="00A8513D" w:rsidRDefault="00A8513D">
            <w:pPr>
              <w:pStyle w:val="normal0"/>
              <w:rPr>
                <w:rFonts w:ascii="Arial" w:eastAsia="Arial" w:hAnsi="Arial" w:cs="Arial"/>
                <w:highlight w:val="white"/>
              </w:rPr>
            </w:pPr>
          </w:p>
          <w:p w:rsidR="00A8513D" w:rsidRDefault="00400D67">
            <w:pPr>
              <w:pStyle w:val="normal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Explore/Explain</w:t>
            </w:r>
            <w:r>
              <w:rPr>
                <w:rFonts w:ascii="Arial" w:eastAsia="Arial" w:hAnsi="Arial" w:cs="Arial"/>
                <w:highlight w:val="white"/>
              </w:rPr>
              <w:t xml:space="preserve">:  Students complete </w:t>
            </w:r>
            <w:hyperlink r:id="rId6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“Beetle, It’s Cold Outside!” Data Nugget</w:t>
              </w:r>
            </w:hyperlink>
            <w:r>
              <w:rPr>
                <w:rFonts w:ascii="Arial" w:eastAsia="Arial" w:hAnsi="Arial" w:cs="Arial"/>
                <w:highlight w:val="white"/>
              </w:rPr>
              <w:t>,</w:t>
            </w:r>
            <w:r w:rsidR="0096208E">
              <w:rPr>
                <w:rFonts w:ascii="Arial" w:eastAsia="Arial" w:hAnsi="Arial" w:cs="Arial"/>
                <w:highlight w:val="white"/>
              </w:rPr>
              <w:t xml:space="preserve"> </w:t>
            </w:r>
            <w:r w:rsidR="0096208E" w:rsidRPr="0096208E">
              <w:rPr>
                <w:rFonts w:ascii="Arial" w:eastAsia="Arial" w:hAnsi="Arial" w:cs="Arial"/>
              </w:rPr>
              <w:t>http://datanuggets.org/2018/11/beetle-its-cold-outside/</w:t>
            </w:r>
            <w:r w:rsidR="0096208E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highlight w:val="white"/>
              </w:rPr>
              <w:t xml:space="preserve"> Parts 1 and 2.</w:t>
            </w:r>
          </w:p>
          <w:p w:rsidR="00A8513D" w:rsidRDefault="00A8513D">
            <w:pPr>
              <w:pStyle w:val="normal0"/>
              <w:rPr>
                <w:rFonts w:ascii="Arial" w:eastAsia="Arial" w:hAnsi="Arial" w:cs="Arial"/>
                <w:highlight w:val="white"/>
              </w:rPr>
            </w:pPr>
          </w:p>
          <w:p w:rsidR="00A8513D" w:rsidRDefault="00400D67">
            <w:pPr>
              <w:pStyle w:val="normal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  <w:u w:val="single"/>
              </w:rPr>
              <w:t>Evaluate</w:t>
            </w:r>
            <w:r>
              <w:rPr>
                <w:rFonts w:ascii="Arial" w:eastAsia="Arial" w:hAnsi="Arial" w:cs="Arial"/>
                <w:highlight w:val="white"/>
              </w:rPr>
              <w:t>:  Completed Data Nugget is evaluated, using Grading Rubric provided on the Data Nugget website.</w:t>
            </w:r>
          </w:p>
        </w:tc>
      </w:tr>
      <w:tr w:rsidR="0034094C">
        <w:trPr>
          <w:cantSplit/>
          <w:trHeight w:val="32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4C" w:rsidRDefault="0034094C">
            <w:pPr>
              <w:pStyle w:val="normal0"/>
              <w:rPr>
                <w:rFonts w:ascii="Arial" w:eastAsia="Arial" w:hAnsi="Arial" w:cs="Arial"/>
                <w:highlight w:val="white"/>
                <w:u w:val="single"/>
              </w:rPr>
            </w:pPr>
          </w:p>
        </w:tc>
      </w:tr>
    </w:tbl>
    <w:p w:rsidR="00A8513D" w:rsidRDefault="00A851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</w:p>
    <w:sectPr w:rsidR="00A8513D" w:rsidSect="00A8513D">
      <w:headerReference w:type="default" r:id="rId7"/>
      <w:footerReference w:type="default" r:id="rId8"/>
      <w:pgSz w:w="12240" w:h="15840"/>
      <w:pgMar w:top="720" w:right="720" w:bottom="720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67" w:rsidRDefault="00400D67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72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67" w:rsidRDefault="00400D6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44"/>
    </w:pPr>
    <w:r>
      <w:rPr>
        <w:rFonts w:ascii="Libre Baskerville" w:eastAsia="Libre Baskerville" w:hAnsi="Libre Baskerville" w:cs="Libre Baskerville"/>
        <w:b/>
        <w:i/>
        <w:color w:val="000000"/>
      </w:rPr>
      <w:t xml:space="preserve">                                          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C0B"/>
    <w:multiLevelType w:val="multilevel"/>
    <w:tmpl w:val="73A4F5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B26C9F"/>
    <w:multiLevelType w:val="multilevel"/>
    <w:tmpl w:val="BF0CB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705B38"/>
    <w:multiLevelType w:val="multilevel"/>
    <w:tmpl w:val="9FC26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CA57803"/>
    <w:multiLevelType w:val="multilevel"/>
    <w:tmpl w:val="6BECB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AD7C2D"/>
    <w:multiLevelType w:val="multilevel"/>
    <w:tmpl w:val="29B8E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53A4F11"/>
    <w:multiLevelType w:val="multilevel"/>
    <w:tmpl w:val="0B703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2A22D24"/>
    <w:multiLevelType w:val="multilevel"/>
    <w:tmpl w:val="FF7CC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doNotTrackMoves/>
  <w:defaultTabStop w:val="720"/>
  <w:characterSpacingControl w:val="doNotCompress"/>
  <w:compat/>
  <w:rsids>
    <w:rsidRoot w:val="00A8513D"/>
    <w:rsid w:val="000332EE"/>
    <w:rsid w:val="00042A17"/>
    <w:rsid w:val="0034094C"/>
    <w:rsid w:val="00400D67"/>
    <w:rsid w:val="0046414E"/>
    <w:rsid w:val="0061682B"/>
    <w:rsid w:val="00704E5E"/>
    <w:rsid w:val="007A73E1"/>
    <w:rsid w:val="00815B4B"/>
    <w:rsid w:val="0096208E"/>
    <w:rsid w:val="009F7FC7"/>
    <w:rsid w:val="00A8513D"/>
    <w:rsid w:val="00C178DA"/>
    <w:rsid w:val="00D6301C"/>
    <w:rsid w:val="00D908C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51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851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851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8513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851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851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8513D"/>
  </w:style>
  <w:style w:type="paragraph" w:styleId="Title">
    <w:name w:val="Title"/>
    <w:basedOn w:val="normal0"/>
    <w:next w:val="normal0"/>
    <w:rsid w:val="00A8513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851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513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datanuggets.org/?s=beetl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961</Words>
  <Characters>5479</Characters>
  <Application>Microsoft Macintosh Word</Application>
  <DocSecurity>0</DocSecurity>
  <Lines>45</Lines>
  <Paragraphs>10</Paragraphs>
  <ScaleCrop>false</ScaleCrop>
  <Company>UC Berkeley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Thanukos</cp:lastModifiedBy>
  <cp:revision>17</cp:revision>
  <dcterms:created xsi:type="dcterms:W3CDTF">2019-08-27T18:58:00Z</dcterms:created>
  <dcterms:modified xsi:type="dcterms:W3CDTF">2019-08-28T00:37:00Z</dcterms:modified>
</cp:coreProperties>
</file>